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BBB3" w14:textId="04AFA40A" w:rsidR="00526CA0" w:rsidRPr="00526CA0" w:rsidRDefault="000D370B" w:rsidP="00526CA0">
      <w:pPr>
        <w:pStyle w:val="Heading2"/>
        <w:tabs>
          <w:tab w:val="left" w:pos="8556"/>
        </w:tabs>
        <w:spacing w:before="0"/>
      </w:pPr>
      <w:r>
        <w:rPr>
          <w:noProof/>
        </w:rPr>
        <w:pict w14:anchorId="0F71D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3.6pt;margin-top:-9.9pt;width:193.95pt;height:39.55pt;z-index:251661312;mso-position-horizontal-relative:margin;mso-position-vertical-relative:margin">
            <v:imagedata r:id="rId8" o:title="aspire-logo-horizontal"/>
            <w10:wrap anchorx="margin" anchory="margin"/>
          </v:shape>
        </w:pict>
      </w:r>
      <w:r w:rsidR="002E3287">
        <w:t>Non-Profit Organization:</w:t>
      </w:r>
      <w:r w:rsidR="005B4072">
        <w:t xml:space="preserve"> </w:t>
      </w:r>
      <w:r w:rsidR="00B91220">
        <w:t>Aspire</w:t>
      </w:r>
      <w:r w:rsidR="00526CA0">
        <w:tab/>
      </w:r>
    </w:p>
    <w:p w14:paraId="1235DDDD" w14:textId="22A66BC9" w:rsidR="00982346" w:rsidRDefault="004A03A0" w:rsidP="00526CA0">
      <w:pPr>
        <w:pStyle w:val="Heading2"/>
        <w:spacing w:before="0"/>
      </w:pPr>
      <w:r>
        <w:t>20</w:t>
      </w:r>
      <w:r w:rsidR="00B91220">
        <w:t>22</w:t>
      </w:r>
      <w:r>
        <w:t xml:space="preserve"> Impact Grant </w:t>
      </w:r>
      <w:r w:rsidR="002E3287">
        <w:t>Award: $</w:t>
      </w:r>
      <w:r w:rsidR="005B4072">
        <w:t>10</w:t>
      </w:r>
      <w:r w:rsidR="00B91220">
        <w:t>0</w:t>
      </w:r>
      <w:r w:rsidR="00526CA0">
        <w:t>,000</w:t>
      </w:r>
      <w:r w:rsidR="005B4072">
        <w:tab/>
      </w:r>
      <w:r w:rsidR="005B4072">
        <w:tab/>
      </w:r>
      <w:r w:rsidR="005B4072">
        <w:tab/>
        <w:t xml:space="preserve"> </w:t>
      </w:r>
    </w:p>
    <w:p w14:paraId="26D05386" w14:textId="334284D4" w:rsidR="00526CA0" w:rsidRDefault="002E3287" w:rsidP="00526CA0">
      <w:pPr>
        <w:pStyle w:val="Heading2"/>
        <w:spacing w:before="0"/>
      </w:pPr>
      <w:r>
        <w:t>Project Title:</w:t>
      </w:r>
      <w:r w:rsidR="005B4072">
        <w:t xml:space="preserve"> </w:t>
      </w:r>
      <w:r w:rsidR="00B91220">
        <w:t>Aspire Community Reading Buddies Expansion</w:t>
      </w:r>
      <w:r w:rsidR="00526CA0">
        <w:t xml:space="preserve"> </w:t>
      </w:r>
    </w:p>
    <w:p w14:paraId="378D21A8" w14:textId="099E3186" w:rsidR="00982346" w:rsidRDefault="00526CA0" w:rsidP="00526CA0">
      <w:pPr>
        <w:pStyle w:val="Heading2"/>
        <w:spacing w:before="0"/>
      </w:pPr>
      <w:r>
        <w:t xml:space="preserve">Focus Area: </w:t>
      </w:r>
      <w:r w:rsidR="00B91220">
        <w:t>Education</w:t>
      </w:r>
    </w:p>
    <w:p w14:paraId="12CA425E" w14:textId="77777777" w:rsidR="00526CA0" w:rsidRPr="00526CA0" w:rsidRDefault="00526CA0" w:rsidP="00526CA0"/>
    <w:p w14:paraId="3C50F09D" w14:textId="22116C43" w:rsidR="00982346" w:rsidRDefault="002E3287" w:rsidP="00526CA0">
      <w:pPr>
        <w:pStyle w:val="Heading2"/>
        <w:spacing w:before="0"/>
      </w:pPr>
      <w:r>
        <w:t>Description:</w:t>
      </w:r>
      <w:r w:rsidR="005B4072">
        <w:t xml:space="preserve"> </w:t>
      </w:r>
      <w:r w:rsidR="00B91220" w:rsidRPr="00B91220">
        <w:rPr>
          <w:rFonts w:ascii="Calibri" w:hAnsi="Calibri" w:cs="Calibri"/>
          <w:b w:val="0"/>
          <w:sz w:val="22"/>
          <w:szCs w:val="22"/>
        </w:rPr>
        <w:t>Aspire Education’s Community Reading Buddies (CRB) program delivers one-on-one literacy mentorship for K–5 students (Buddies) from underserved communities. These students are paired with middle and high school Youth Mentors. This dual-impact model improves early literacy while building leadership and social-emotional skills in teen mentors. The Impact100 East Bay grant was awarded to help CRB reach an additional 400 Buddy-Mentor pairs, primarily from Oakland Unified School District (OUSD), expand programming, and generate data to validate CRB’s impact on early literacy with the goal of achieving broader educational adoption.</w:t>
      </w:r>
    </w:p>
    <w:p w14:paraId="1CBE6B8A" w14:textId="77777777" w:rsidR="00526CA0" w:rsidRDefault="00526CA0" w:rsidP="00526CA0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5513EF10" w14:textId="77777777" w:rsidR="00B91220" w:rsidRPr="00B91220" w:rsidRDefault="002E3287" w:rsidP="00B91220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526CA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Results:</w:t>
      </w:r>
      <w:r w:rsidR="005B4072">
        <w:t xml:space="preserve"> </w:t>
      </w:r>
      <w:r w:rsidR="00B91220" w:rsidRPr="00B91220">
        <w:rPr>
          <w:rFonts w:ascii="Calibri" w:eastAsiaTheme="majorEastAsia" w:hAnsi="Calibri" w:cs="Calibri"/>
          <w:bCs/>
          <w:color w:val="4F81BD" w:themeColor="accent1"/>
        </w:rPr>
        <w:t xml:space="preserve">Thanks to Impact100 East Bay’s funding, Aspire Education not only met but exceeded its recruitment and impact goals. The program empowered hundreds of young readers to </w:t>
      </w:r>
      <w:proofErr w:type="gramStart"/>
      <w:r w:rsidR="00B91220" w:rsidRPr="00B91220">
        <w:rPr>
          <w:rFonts w:ascii="Calibri" w:eastAsiaTheme="majorEastAsia" w:hAnsi="Calibri" w:cs="Calibri"/>
          <w:bCs/>
          <w:color w:val="4F81BD" w:themeColor="accent1"/>
        </w:rPr>
        <w:t>close  their</w:t>
      </w:r>
      <w:proofErr w:type="gramEnd"/>
      <w:r w:rsidR="00B91220" w:rsidRPr="00B91220">
        <w:rPr>
          <w:rFonts w:ascii="Calibri" w:eastAsiaTheme="majorEastAsia" w:hAnsi="Calibri" w:cs="Calibri"/>
          <w:bCs/>
          <w:color w:val="4F81BD" w:themeColor="accent1"/>
        </w:rPr>
        <w:t xml:space="preserve"> early literacy gaps and prepared teen mentors to become compassionate community leaders. Buddies gained confidence, reading fluency, and a love for learning—transformative progress for students often furthest from opportunity.</w:t>
      </w:r>
    </w:p>
    <w:p w14:paraId="78C71C3D" w14:textId="77777777" w:rsidR="00B91220" w:rsidRPr="00B91220" w:rsidRDefault="00B91220" w:rsidP="00B91220">
      <w:pPr>
        <w:spacing w:after="0"/>
        <w:ind w:left="630" w:hanging="270"/>
        <w:rPr>
          <w:rFonts w:ascii="Calibri" w:eastAsiaTheme="majorEastAsia" w:hAnsi="Calibri" w:cs="Calibri"/>
          <w:bCs/>
          <w:color w:val="4F81BD" w:themeColor="accent1"/>
        </w:rPr>
      </w:pPr>
      <w:r w:rsidRPr="00B91220">
        <w:rPr>
          <w:rFonts w:ascii="Calibri" w:eastAsiaTheme="majorEastAsia" w:hAnsi="Calibri" w:cs="Calibri"/>
          <w:bCs/>
          <w:color w:val="4F81BD" w:themeColor="accent1"/>
        </w:rPr>
        <w:t>•</w:t>
      </w:r>
      <w:r w:rsidRPr="00B91220">
        <w:rPr>
          <w:rFonts w:ascii="Calibri" w:eastAsiaTheme="majorEastAsia" w:hAnsi="Calibri" w:cs="Calibri"/>
          <w:bCs/>
          <w:color w:val="4F81BD" w:themeColor="accent1"/>
        </w:rPr>
        <w:tab/>
        <w:t>More than 450 Buddy Mentor pairs participated in the project and more than 1,400 youth served as mentors.</w:t>
      </w:r>
    </w:p>
    <w:p w14:paraId="099351CA" w14:textId="77777777" w:rsidR="00B91220" w:rsidRPr="00B91220" w:rsidRDefault="00B91220" w:rsidP="00B91220">
      <w:pPr>
        <w:spacing w:after="0"/>
        <w:ind w:left="630" w:hanging="270"/>
        <w:rPr>
          <w:rFonts w:ascii="Calibri" w:eastAsiaTheme="majorEastAsia" w:hAnsi="Calibri" w:cs="Calibri"/>
          <w:bCs/>
          <w:color w:val="4F81BD" w:themeColor="accent1"/>
        </w:rPr>
      </w:pPr>
      <w:r w:rsidRPr="00B91220">
        <w:rPr>
          <w:rFonts w:ascii="Calibri" w:eastAsiaTheme="majorEastAsia" w:hAnsi="Calibri" w:cs="Calibri"/>
          <w:bCs/>
          <w:color w:val="4F81BD" w:themeColor="accent1"/>
        </w:rPr>
        <w:t>•</w:t>
      </w:r>
      <w:r w:rsidRPr="00B91220">
        <w:rPr>
          <w:rFonts w:ascii="Calibri" w:eastAsiaTheme="majorEastAsia" w:hAnsi="Calibri" w:cs="Calibri"/>
          <w:bCs/>
          <w:color w:val="4F81BD" w:themeColor="accent1"/>
        </w:rPr>
        <w:tab/>
        <w:t>Young readers averaged 4.5 months of reading growth after participating for eight weeks.</w:t>
      </w:r>
    </w:p>
    <w:p w14:paraId="73B56F26" w14:textId="77777777" w:rsidR="00B91220" w:rsidRPr="00B91220" w:rsidRDefault="00B91220" w:rsidP="00B91220">
      <w:pPr>
        <w:spacing w:after="0"/>
        <w:ind w:left="630" w:hanging="270"/>
        <w:rPr>
          <w:rFonts w:ascii="Calibri" w:eastAsiaTheme="majorEastAsia" w:hAnsi="Calibri" w:cs="Calibri"/>
          <w:bCs/>
          <w:color w:val="4F81BD" w:themeColor="accent1"/>
        </w:rPr>
      </w:pPr>
      <w:r w:rsidRPr="00B91220">
        <w:rPr>
          <w:rFonts w:ascii="Calibri" w:eastAsiaTheme="majorEastAsia" w:hAnsi="Calibri" w:cs="Calibri"/>
          <w:bCs/>
          <w:color w:val="4F81BD" w:themeColor="accent1"/>
        </w:rPr>
        <w:t>•</w:t>
      </w:r>
      <w:r w:rsidRPr="00B91220">
        <w:rPr>
          <w:rFonts w:ascii="Calibri" w:eastAsiaTheme="majorEastAsia" w:hAnsi="Calibri" w:cs="Calibri"/>
          <w:bCs/>
          <w:color w:val="4F81BD" w:themeColor="accent1"/>
        </w:rPr>
        <w:tab/>
        <w:t>95% of youth mentors showed gains in leadership, problem-solving, and communication skills.</w:t>
      </w:r>
    </w:p>
    <w:p w14:paraId="6D29FAF6" w14:textId="77777777" w:rsidR="000D370B" w:rsidRDefault="000D370B" w:rsidP="00B91220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</w:p>
    <w:p w14:paraId="1275EA8F" w14:textId="40EA0761" w:rsidR="00B91220" w:rsidRPr="00B91220" w:rsidRDefault="00B91220" w:rsidP="00B91220">
      <w:pPr>
        <w:spacing w:after="0"/>
        <w:rPr>
          <w:rFonts w:ascii="Calibri" w:eastAsiaTheme="majorEastAsia" w:hAnsi="Calibri" w:cs="Calibri"/>
          <w:bCs/>
          <w:color w:val="4F81BD" w:themeColor="accent1"/>
        </w:rPr>
      </w:pPr>
      <w:r w:rsidRPr="00B91220">
        <w:rPr>
          <w:rFonts w:ascii="Calibri" w:eastAsiaTheme="majorEastAsia" w:hAnsi="Calibri" w:cs="Calibri"/>
          <w:bCs/>
          <w:color w:val="4F81BD" w:themeColor="accent1"/>
        </w:rPr>
        <w:t xml:space="preserve">CRB’s success depends on deep collaboration with many supportive organizations. Partnerships with </w:t>
      </w:r>
      <w:proofErr w:type="gramStart"/>
      <w:r w:rsidRPr="00B91220">
        <w:rPr>
          <w:rFonts w:ascii="Calibri" w:eastAsiaTheme="majorEastAsia" w:hAnsi="Calibri" w:cs="Calibri"/>
          <w:bCs/>
          <w:color w:val="4F81BD" w:themeColor="accent1"/>
        </w:rPr>
        <w:t>Oakland</w:t>
      </w:r>
      <w:proofErr w:type="gramEnd"/>
      <w:r w:rsidRPr="00B91220">
        <w:rPr>
          <w:rFonts w:ascii="Calibri" w:eastAsiaTheme="majorEastAsia" w:hAnsi="Calibri" w:cs="Calibri"/>
          <w:bCs/>
          <w:color w:val="4F81BD" w:themeColor="accent1"/>
        </w:rPr>
        <w:t xml:space="preserve"> Unified School District, Oakland Public Library, and numerous funders like the Warriors Community Foundation facilitated critical access to students, volunteers, meeting spaces, and technology.</w:t>
      </w:r>
    </w:p>
    <w:p w14:paraId="462BB248" w14:textId="65DDB29E" w:rsidR="00526CA0" w:rsidRPr="00526CA0" w:rsidRDefault="00B91220" w:rsidP="00B91220">
      <w:pPr>
        <w:spacing w:after="0"/>
      </w:pPr>
      <w:r w:rsidRPr="00B91220">
        <w:rPr>
          <w:rFonts w:ascii="Calibri" w:eastAsiaTheme="majorEastAsia" w:hAnsi="Calibri" w:cs="Calibri"/>
          <w:bCs/>
          <w:color w:val="4F81BD" w:themeColor="accent1"/>
        </w:rPr>
        <w:t>CRB’s model was also strengthened by community organizations, which offered wraparound support and recruitment pipelines.</w:t>
      </w:r>
    </w:p>
    <w:p w14:paraId="431D562E" w14:textId="77777777" w:rsidR="00526CA0" w:rsidRDefault="00526CA0" w:rsidP="00526CA0">
      <w:pPr>
        <w:pStyle w:val="Heading2"/>
        <w:spacing w:before="0"/>
      </w:pPr>
    </w:p>
    <w:p w14:paraId="0AFCEC11" w14:textId="05D3507F" w:rsidR="00982346" w:rsidRDefault="002E3287" w:rsidP="00526CA0">
      <w:pPr>
        <w:pStyle w:val="Heading2"/>
        <w:spacing w:before="0"/>
      </w:pPr>
      <w:r>
        <w:t>Quote/Testimony</w:t>
      </w:r>
      <w:r w:rsidR="005B4072">
        <w:t xml:space="preserve">: </w:t>
      </w:r>
      <w:proofErr w:type="gramStart"/>
      <w:r w:rsidR="00B91220" w:rsidRPr="00B91220">
        <w:rPr>
          <w:rFonts w:ascii="Calibri" w:hAnsi="Calibri" w:cs="Calibri"/>
          <w:b w:val="0"/>
          <w:sz w:val="22"/>
          <w:szCs w:val="22"/>
        </w:rPr>
        <w:t>Natalia,</w:t>
      </w:r>
      <w:proofErr w:type="gramEnd"/>
      <w:r w:rsidR="00B91220" w:rsidRPr="00B91220">
        <w:rPr>
          <w:rFonts w:ascii="Calibri" w:hAnsi="Calibri" w:cs="Calibri"/>
          <w:b w:val="0"/>
          <w:sz w:val="22"/>
          <w:szCs w:val="22"/>
        </w:rPr>
        <w:t xml:space="preserve"> was a </w:t>
      </w:r>
      <w:proofErr w:type="gramStart"/>
      <w:r w:rsidR="00B91220" w:rsidRPr="00B91220">
        <w:rPr>
          <w:rFonts w:ascii="Calibri" w:hAnsi="Calibri" w:cs="Calibri"/>
          <w:b w:val="0"/>
          <w:sz w:val="22"/>
          <w:szCs w:val="22"/>
        </w:rPr>
        <w:t>first-grader</w:t>
      </w:r>
      <w:proofErr w:type="gramEnd"/>
      <w:r w:rsidR="00B91220" w:rsidRPr="00B91220">
        <w:rPr>
          <w:rFonts w:ascii="Calibri" w:hAnsi="Calibri" w:cs="Calibri"/>
          <w:b w:val="0"/>
          <w:sz w:val="22"/>
          <w:szCs w:val="22"/>
        </w:rPr>
        <w:t xml:space="preserve"> who joined CRB at the Oakland Public Library implementation site. Over seven weeks, she </w:t>
      </w:r>
      <w:proofErr w:type="gramStart"/>
      <w:r w:rsidR="00B91220" w:rsidRPr="00B91220">
        <w:rPr>
          <w:rFonts w:ascii="Calibri" w:hAnsi="Calibri" w:cs="Calibri"/>
          <w:b w:val="0"/>
          <w:sz w:val="22"/>
          <w:szCs w:val="22"/>
        </w:rPr>
        <w:t>advanced</w:t>
      </w:r>
      <w:proofErr w:type="gramEnd"/>
      <w:r w:rsidR="00B91220" w:rsidRPr="00B91220">
        <w:rPr>
          <w:rFonts w:ascii="Calibri" w:hAnsi="Calibri" w:cs="Calibri"/>
          <w:b w:val="0"/>
          <w:sz w:val="22"/>
          <w:szCs w:val="22"/>
        </w:rPr>
        <w:t xml:space="preserve"> two full grade levels in reading, supported by her Youth Mentors in a nurturing,</w:t>
      </w:r>
      <w:r w:rsidR="00B91220">
        <w:rPr>
          <w:rFonts w:ascii="Calibri" w:hAnsi="Calibri" w:cs="Calibri"/>
          <w:b w:val="0"/>
          <w:sz w:val="22"/>
          <w:szCs w:val="22"/>
        </w:rPr>
        <w:t xml:space="preserve"> </w:t>
      </w:r>
      <w:r w:rsidR="00B91220" w:rsidRPr="00B91220">
        <w:rPr>
          <w:rFonts w:ascii="Calibri" w:hAnsi="Calibri" w:cs="Calibri"/>
          <w:b w:val="0"/>
          <w:sz w:val="22"/>
          <w:szCs w:val="22"/>
        </w:rPr>
        <w:t>affirming environment. This leap prepared her for success entering 3rd grade.</w:t>
      </w:r>
    </w:p>
    <w:p w14:paraId="63A1038C" w14:textId="37447330" w:rsidR="00526CA0" w:rsidRDefault="00526CA0" w:rsidP="00526CA0">
      <w:pPr>
        <w:pStyle w:val="Heading2"/>
        <w:spacing w:before="0"/>
      </w:pPr>
    </w:p>
    <w:p w14:paraId="23F902D9" w14:textId="33E51704" w:rsidR="00982346" w:rsidRPr="00526CA0" w:rsidRDefault="00526CA0" w:rsidP="00526CA0">
      <w:pPr>
        <w:pStyle w:val="Heading2"/>
        <w:spacing w:before="0"/>
        <w:rPr>
          <w:rFonts w:ascii="Calibri" w:hAnsi="Calibri" w:cs="Calibri"/>
          <w:b w:val="0"/>
          <w:sz w:val="22"/>
          <w:szCs w:val="22"/>
        </w:rPr>
      </w:pPr>
      <w:r>
        <w:t xml:space="preserve">Visit Website: </w:t>
      </w:r>
      <w:hyperlink r:id="rId9" w:history="1">
        <w:r w:rsidR="00C22BF3" w:rsidRPr="00C22BF3">
          <w:rPr>
            <w:rStyle w:val="Hyperlink"/>
            <w:sz w:val="24"/>
            <w:szCs w:val="24"/>
          </w:rPr>
          <w:t>https://impact100eastbay.org</w:t>
        </w:r>
      </w:hyperlink>
      <w:r w:rsidR="00C22BF3" w:rsidRPr="00C22BF3">
        <w:rPr>
          <w:sz w:val="24"/>
          <w:szCs w:val="24"/>
        </w:rPr>
        <w:t xml:space="preserve"> to join our women’s collective giving non-profit to Make a Difference in our local communities! </w:t>
      </w:r>
    </w:p>
    <w:p w14:paraId="1E5E25FF" w14:textId="5C5C14D1" w:rsidR="005B4072" w:rsidRPr="005B4072" w:rsidRDefault="00526CA0" w:rsidP="005B4072">
      <w:r>
        <w:rPr>
          <w:noProof/>
        </w:rPr>
        <w:drawing>
          <wp:anchor distT="0" distB="0" distL="114300" distR="114300" simplePos="0" relativeHeight="251659264" behindDoc="1" locked="0" layoutInCell="1" allowOverlap="1" wp14:anchorId="709985E2" wp14:editId="7E8B7940">
            <wp:simplePos x="0" y="0"/>
            <wp:positionH relativeFrom="column">
              <wp:posOffset>4366260</wp:posOffset>
            </wp:positionH>
            <wp:positionV relativeFrom="paragraph">
              <wp:posOffset>128905</wp:posOffset>
            </wp:positionV>
            <wp:extent cx="1908175" cy="847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4072" w:rsidRPr="005B4072" w:rsidSect="00526CA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4137" w14:textId="77777777" w:rsidR="005B598F" w:rsidRDefault="005B598F" w:rsidP="00526CA0">
      <w:pPr>
        <w:spacing w:after="0" w:line="240" w:lineRule="auto"/>
      </w:pPr>
      <w:r>
        <w:separator/>
      </w:r>
    </w:p>
  </w:endnote>
  <w:endnote w:type="continuationSeparator" w:id="0">
    <w:p w14:paraId="47530A36" w14:textId="77777777" w:rsidR="005B598F" w:rsidRDefault="005B598F" w:rsidP="0052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ED6A" w14:textId="77777777" w:rsidR="005B598F" w:rsidRDefault="005B598F" w:rsidP="00526CA0">
      <w:pPr>
        <w:spacing w:after="0" w:line="240" w:lineRule="auto"/>
      </w:pPr>
      <w:r>
        <w:separator/>
      </w:r>
    </w:p>
  </w:footnote>
  <w:footnote w:type="continuationSeparator" w:id="0">
    <w:p w14:paraId="21DC1E1B" w14:textId="77777777" w:rsidR="005B598F" w:rsidRDefault="005B598F" w:rsidP="0052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757377">
    <w:abstractNumId w:val="8"/>
  </w:num>
  <w:num w:numId="2" w16cid:durableId="637338978">
    <w:abstractNumId w:val="6"/>
  </w:num>
  <w:num w:numId="3" w16cid:durableId="140276203">
    <w:abstractNumId w:val="5"/>
  </w:num>
  <w:num w:numId="4" w16cid:durableId="1626931830">
    <w:abstractNumId w:val="4"/>
  </w:num>
  <w:num w:numId="5" w16cid:durableId="1104571268">
    <w:abstractNumId w:val="7"/>
  </w:num>
  <w:num w:numId="6" w16cid:durableId="1095518465">
    <w:abstractNumId w:val="3"/>
  </w:num>
  <w:num w:numId="7" w16cid:durableId="1407410221">
    <w:abstractNumId w:val="2"/>
  </w:num>
  <w:num w:numId="8" w16cid:durableId="1407075625">
    <w:abstractNumId w:val="1"/>
  </w:num>
  <w:num w:numId="9" w16cid:durableId="4695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370B"/>
    <w:rsid w:val="0015074B"/>
    <w:rsid w:val="002272BE"/>
    <w:rsid w:val="0029639D"/>
    <w:rsid w:val="002E3287"/>
    <w:rsid w:val="00326F90"/>
    <w:rsid w:val="003A4934"/>
    <w:rsid w:val="004A03A0"/>
    <w:rsid w:val="00526CA0"/>
    <w:rsid w:val="005B4072"/>
    <w:rsid w:val="005B598F"/>
    <w:rsid w:val="00982346"/>
    <w:rsid w:val="00AA1D8D"/>
    <w:rsid w:val="00B47730"/>
    <w:rsid w:val="00B91220"/>
    <w:rsid w:val="00C22BF3"/>
    <w:rsid w:val="00CB0664"/>
    <w:rsid w:val="00E93F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65A61"/>
  <w14:defaultImageDpi w14:val="300"/>
  <w15:docId w15:val="{401188B0-581A-451B-B82A-DAC27A0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2B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mpact100eastb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CAE14-8207-41F7-BA30-40FEE6A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Stephanie Shaw</cp:lastModifiedBy>
  <cp:revision>2</cp:revision>
  <dcterms:created xsi:type="dcterms:W3CDTF">2025-07-24T22:53:00Z</dcterms:created>
  <dcterms:modified xsi:type="dcterms:W3CDTF">2025-07-24T22:53:00Z</dcterms:modified>
  <cp:category/>
</cp:coreProperties>
</file>